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4ED8"/>
          <w:sz w:val="36"/>
        </w:rPr>
        <w:t>Presupuesto de reforma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>
              <w:rPr>
                <w:b/>
              </w:rPr>
              <w:t>Empresa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>
            <w:r>
              <w:rPr>
                <w:b/>
              </w:rPr>
              <w:t>NIF</w:t>
            </w:r>
          </w:p>
        </w:tc>
        <w:tc>
          <w:tcPr>
            <w:tcW w:type="dxa" w:w="2523"/>
          </w:tcPr>
          <w:p/>
        </w:tc>
      </w:tr>
      <w:tr>
        <w:tc>
          <w:tcPr>
            <w:tcW w:type="dxa" w:w="2523"/>
          </w:tcPr>
          <w:p>
            <w:r>
              <w:rPr>
                <w:b/>
              </w:rPr>
              <w:t>Nº de presupuesto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2523"/>
          </w:tcPr>
          <w:p/>
        </w:tc>
      </w:tr>
      <w:tr>
        <w:tc>
          <w:tcPr>
            <w:tcW w:type="dxa" w:w="2523"/>
          </w:tcPr>
          <w:p>
            <w:r>
              <w:rPr>
                <w:b/>
              </w:rPr>
              <w:t>Cliente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>
            <w:r>
              <w:rPr>
                <w:b/>
              </w:rPr>
              <w:t>Obra</w:t>
            </w:r>
          </w:p>
        </w:tc>
        <w:tc>
          <w:tcPr>
            <w:tcW w:type="dxa" w:w="2523"/>
          </w:tcPr>
          <w:p/>
        </w:tc>
      </w:tr>
      <w:tr>
        <w:tc>
          <w:tcPr>
            <w:tcW w:type="dxa" w:w="2523"/>
          </w:tcPr>
          <w:p>
            <w:r>
              <w:rPr>
                <w:b/>
              </w:rPr>
              <w:t>Dirección de la obra</w:t>
            </w:r>
          </w:p>
        </w:tc>
        <w:tc>
          <w:tcPr>
            <w:tcW w:type="dxa" w:w="7569"/>
            <w:gridSpan w:val="3"/>
          </w:tcPr>
          <w:p>
            <w:r>
              <w:rPr>
                <w:b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680"/>
          </w:tcPr>
          <w:p>
            <w:r>
              <w:rPr>
                <w:b/>
              </w:rPr>
              <w:t>Nº</w:t>
            </w:r>
          </w:p>
        </w:tc>
        <w:tc>
          <w:tcPr>
            <w:tcW w:type="dxa" w:w="4876"/>
          </w:tcPr>
          <w:p>
            <w:r>
              <w:rPr>
                <w:b/>
              </w:rPr>
              <w:t>Descripción</w:t>
            </w:r>
          </w:p>
        </w:tc>
        <w:tc>
          <w:tcPr>
            <w:tcW w:type="dxa" w:w="680"/>
          </w:tcPr>
          <w:p>
            <w:r>
              <w:rPr>
                <w:b/>
              </w:rPr>
              <w:t>Ud</w:t>
            </w:r>
          </w:p>
        </w:tc>
        <w:tc>
          <w:tcPr>
            <w:tcW w:type="dxa" w:w="1134"/>
          </w:tcPr>
          <w:p>
            <w:r>
              <w:rPr>
                <w:b/>
              </w:rPr>
              <w:t>Medición</w:t>
            </w:r>
          </w:p>
        </w:tc>
        <w:tc>
          <w:tcPr>
            <w:tcW w:type="dxa" w:w="1361"/>
          </w:tcPr>
          <w:p>
            <w:r>
              <w:rPr>
                <w:b/>
              </w:rPr>
              <w:t>Precio</w:t>
            </w:r>
          </w:p>
        </w:tc>
        <w:tc>
          <w:tcPr>
            <w:tcW w:type="dxa" w:w="1474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4876"/>
          </w:tcPr>
          <w:p>
            <w:r>
              <w:rPr>
                <w:b/>
              </w:rPr>
              <w:t>Demoliciones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1.1</w:t>
            </w:r>
          </w:p>
        </w:tc>
        <w:tc>
          <w:tcPr>
            <w:tcW w:type="dxa" w:w="4876"/>
          </w:tcPr>
          <w:p>
            <w:r>
              <w:t>Demolición de alicatado de paredes y retirada de escombro</w:t>
            </w:r>
          </w:p>
        </w:tc>
        <w:tc>
          <w:tcPr>
            <w:tcW w:type="dxa" w:w="680"/>
          </w:tcPr>
          <w:p>
            <w:r>
              <w:t>m²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1.2</w:t>
            </w:r>
          </w:p>
        </w:tc>
        <w:tc>
          <w:tcPr>
            <w:tcW w:type="dxa" w:w="4876"/>
          </w:tcPr>
          <w:p>
            <w:r>
              <w:t>Desmontaje de sanitarios</w:t>
            </w:r>
          </w:p>
        </w:tc>
        <w:tc>
          <w:tcPr>
            <w:tcW w:type="dxa" w:w="680"/>
          </w:tcPr>
          <w:p>
            <w:r>
              <w:t>ud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1.3</w:t>
            </w:r>
          </w:p>
        </w:tc>
        <w:tc>
          <w:tcPr>
            <w:tcW w:type="dxa" w:w="4876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876"/>
          </w:tcPr>
          <w:p>
            <w:r>
              <w:rPr>
                <w:b/>
              </w:rPr>
              <w:t>Subtotal Demoliciones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4876"/>
          </w:tcPr>
          <w:p>
            <w:r>
              <w:rPr>
                <w:b/>
              </w:rPr>
              <w:t>Albañilería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2.1</w:t>
            </w:r>
          </w:p>
        </w:tc>
        <w:tc>
          <w:tcPr>
            <w:tcW w:type="dxa" w:w="4876"/>
          </w:tcPr>
          <w:p>
            <w:r>
              <w:t>Recrecido de suelo con mortero</w:t>
            </w:r>
          </w:p>
        </w:tc>
        <w:tc>
          <w:tcPr>
            <w:tcW w:type="dxa" w:w="680"/>
          </w:tcPr>
          <w:p>
            <w:r>
              <w:t>m²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2.2</w:t>
            </w:r>
          </w:p>
        </w:tc>
        <w:tc>
          <w:tcPr>
            <w:tcW w:type="dxa" w:w="4876"/>
          </w:tcPr>
          <w:p>
            <w:r>
              <w:t>Impermeabilización de zona de ducha</w:t>
            </w:r>
          </w:p>
        </w:tc>
        <w:tc>
          <w:tcPr>
            <w:tcW w:type="dxa" w:w="680"/>
          </w:tcPr>
          <w:p>
            <w:r>
              <w:t>m²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2.3</w:t>
            </w:r>
          </w:p>
        </w:tc>
        <w:tc>
          <w:tcPr>
            <w:tcW w:type="dxa" w:w="4876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876"/>
          </w:tcPr>
          <w:p>
            <w:r>
              <w:rPr>
                <w:b/>
              </w:rPr>
              <w:t>Subtotal Albañilería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4876"/>
          </w:tcPr>
          <w:p>
            <w:r>
              <w:rPr>
                <w:b/>
              </w:rPr>
              <w:t>Fontanería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3.1</w:t>
            </w:r>
          </w:p>
        </w:tc>
        <w:tc>
          <w:tcPr>
            <w:tcW w:type="dxa" w:w="4876"/>
          </w:tcPr>
          <w:p>
            <w:r>
              <w:t>Toma de agua fría y caliente</w:t>
            </w:r>
          </w:p>
        </w:tc>
        <w:tc>
          <w:tcPr>
            <w:tcW w:type="dxa" w:w="680"/>
          </w:tcPr>
          <w:p>
            <w:r>
              <w:t>ud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3.2</w:t>
            </w:r>
          </w:p>
        </w:tc>
        <w:tc>
          <w:tcPr>
            <w:tcW w:type="dxa" w:w="4876"/>
          </w:tcPr>
          <w:p>
            <w:r>
              <w:t>Desagüe de plato de ducha</w:t>
            </w:r>
          </w:p>
        </w:tc>
        <w:tc>
          <w:tcPr>
            <w:tcW w:type="dxa" w:w="680"/>
          </w:tcPr>
          <w:p>
            <w:r>
              <w:t>ud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3.3</w:t>
            </w:r>
          </w:p>
        </w:tc>
        <w:tc>
          <w:tcPr>
            <w:tcW w:type="dxa" w:w="4876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876"/>
          </w:tcPr>
          <w:p>
            <w:r>
              <w:rPr>
                <w:b/>
              </w:rPr>
              <w:t>Subtotal Fontanería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4876"/>
          </w:tcPr>
          <w:p>
            <w:r>
              <w:rPr>
                <w:b/>
              </w:rPr>
              <w:t>Electricidad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4.1</w:t>
            </w:r>
          </w:p>
        </w:tc>
        <w:tc>
          <w:tcPr>
            <w:tcW w:type="dxa" w:w="4876"/>
          </w:tcPr>
          <w:p>
            <w:r>
              <w:t>Punto de luz</w:t>
            </w:r>
          </w:p>
        </w:tc>
        <w:tc>
          <w:tcPr>
            <w:tcW w:type="dxa" w:w="680"/>
          </w:tcPr>
          <w:p>
            <w:r>
              <w:t>ud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4.2</w:t>
            </w:r>
          </w:p>
        </w:tc>
        <w:tc>
          <w:tcPr>
            <w:tcW w:type="dxa" w:w="4876"/>
          </w:tcPr>
          <w:p>
            <w:r>
              <w:t>Base de enchufe</w:t>
            </w:r>
          </w:p>
        </w:tc>
        <w:tc>
          <w:tcPr>
            <w:tcW w:type="dxa" w:w="680"/>
          </w:tcPr>
          <w:p>
            <w:r>
              <w:t>ud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4.3</w:t>
            </w:r>
          </w:p>
        </w:tc>
        <w:tc>
          <w:tcPr>
            <w:tcW w:type="dxa" w:w="4876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876"/>
          </w:tcPr>
          <w:p>
            <w:r>
              <w:rPr>
                <w:b/>
              </w:rPr>
              <w:t>Subtotal Electricidad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5</w:t>
            </w:r>
          </w:p>
        </w:tc>
        <w:tc>
          <w:tcPr>
            <w:tcW w:type="dxa" w:w="4876"/>
          </w:tcPr>
          <w:p>
            <w:r>
              <w:rPr>
                <w:b/>
              </w:rPr>
              <w:t>Revestimientos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5.1</w:t>
            </w:r>
          </w:p>
        </w:tc>
        <w:tc>
          <w:tcPr>
            <w:tcW w:type="dxa" w:w="4876"/>
          </w:tcPr>
          <w:p>
            <w:r>
              <w:t>Alicatado de paredes</w:t>
            </w:r>
          </w:p>
        </w:tc>
        <w:tc>
          <w:tcPr>
            <w:tcW w:type="dxa" w:w="680"/>
          </w:tcPr>
          <w:p>
            <w:r>
              <w:t>m²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5.2</w:t>
            </w:r>
          </w:p>
        </w:tc>
        <w:tc>
          <w:tcPr>
            <w:tcW w:type="dxa" w:w="4876"/>
          </w:tcPr>
          <w:p>
            <w:r>
              <w:t>Solado de suelo</w:t>
            </w:r>
          </w:p>
        </w:tc>
        <w:tc>
          <w:tcPr>
            <w:tcW w:type="dxa" w:w="680"/>
          </w:tcPr>
          <w:p>
            <w:r>
              <w:t>m²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5.3</w:t>
            </w:r>
          </w:p>
        </w:tc>
        <w:tc>
          <w:tcPr>
            <w:tcW w:type="dxa" w:w="4876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876"/>
          </w:tcPr>
          <w:p>
            <w:r>
              <w:rPr>
                <w:b/>
              </w:rPr>
              <w:t>Subtotal Revestimientos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6</w:t>
            </w:r>
          </w:p>
        </w:tc>
        <w:tc>
          <w:tcPr>
            <w:tcW w:type="dxa" w:w="4876"/>
          </w:tcPr>
          <w:p>
            <w:r>
              <w:rPr>
                <w:b/>
              </w:rPr>
              <w:t>Pintura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6.1</w:t>
            </w:r>
          </w:p>
        </w:tc>
        <w:tc>
          <w:tcPr>
            <w:tcW w:type="dxa" w:w="4876"/>
          </w:tcPr>
          <w:p>
            <w:r>
              <w:t>Pintura plástica de techo, dos manos</w:t>
            </w:r>
          </w:p>
        </w:tc>
        <w:tc>
          <w:tcPr>
            <w:tcW w:type="dxa" w:w="680"/>
          </w:tcPr>
          <w:p>
            <w:r>
              <w:t>m²</w:t>
            </w:r>
          </w:p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6.2</w:t>
            </w:r>
          </w:p>
        </w:tc>
        <w:tc>
          <w:tcPr>
            <w:tcW w:type="dxa" w:w="4876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>
            <w:r>
              <w:t>6.3</w:t>
            </w:r>
          </w:p>
        </w:tc>
        <w:tc>
          <w:tcPr>
            <w:tcW w:type="dxa" w:w="4876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876"/>
          </w:tcPr>
          <w:p>
            <w:r>
              <w:rPr>
                <w:b/>
              </w:rPr>
              <w:t>Subtotal Pintura</w:t>
            </w:r>
          </w:p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t>Suma de capítulos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Gastos generales (__ %)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Beneficio industrial (__ %)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Base imponible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IVA (21 % / 10 %)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5046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</w:rPr>
              <w:t>Validez</w:t>
            </w:r>
          </w:p>
        </w:tc>
        <w:tc>
          <w:tcPr>
            <w:tcW w:type="dxa" w:w="5046"/>
          </w:tcPr>
          <w:p>
            <w:r>
              <w:t>30 días</w:t>
            </w:r>
          </w:p>
        </w:tc>
      </w:tr>
      <w:tr>
        <w:tc>
          <w:tcPr>
            <w:tcW w:type="dxa" w:w="5046"/>
          </w:tcPr>
          <w:p>
            <w:r>
              <w:rPr>
                <w:b/>
              </w:rPr>
              <w:t>Plazo de ejecución</w:t>
            </w:r>
          </w:p>
        </w:tc>
        <w:tc>
          <w:tcPr>
            <w:tcW w:type="dxa" w:w="5046"/>
          </w:tcPr>
          <w:p>
            <w:r/>
          </w:p>
        </w:tc>
      </w:tr>
      <w:tr>
        <w:tc>
          <w:tcPr>
            <w:tcW w:type="dxa" w:w="5046"/>
          </w:tcPr>
          <w:p>
            <w:r>
              <w:rPr>
                <w:b/>
              </w:rPr>
              <w:t>Inicio previsto</w:t>
            </w:r>
          </w:p>
        </w:tc>
        <w:tc>
          <w:tcPr>
            <w:tcW w:type="dxa" w:w="5046"/>
          </w:tcPr>
          <w:p>
            <w:r/>
          </w:p>
        </w:tc>
      </w:tr>
      <w:tr>
        <w:tc>
          <w:tcPr>
            <w:tcW w:type="dxa" w:w="5046"/>
          </w:tcPr>
          <w:p>
            <w:r>
              <w:rPr>
                <w:b/>
              </w:rPr>
              <w:t>Forma de pago</w:t>
            </w:r>
          </w:p>
        </w:tc>
        <w:tc>
          <w:tcPr>
            <w:tcW w:type="dxa" w:w="5046"/>
          </w:tcPr>
          <w:p>
            <w:r>
              <w:t>Por transferencia bancaria. 40 % al aceptar, 40 % a mitad de obra y 20 % al terminar.</w:t>
            </w:r>
          </w:p>
        </w:tc>
      </w:tr>
      <w:tr>
        <w:tc>
          <w:tcPr>
            <w:tcW w:type="dxa" w:w="5046"/>
          </w:tcPr>
          <w:p>
            <w:r>
              <w:rPr>
                <w:b/>
              </w:rPr>
              <w:t>No incluye</w:t>
            </w:r>
          </w:p>
        </w:tc>
        <w:tc>
          <w:tcPr>
            <w:tcW w:type="dxa" w:w="5046"/>
          </w:tcPr>
          <w:p>
            <w:r>
              <w:t>Licencias ni tasas municipales, salvo que se indique.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t>Aceptación del cliente</w:t>
              <w:br/>
              <w:t>Nombre, DNI, fecha y firma</w:t>
              <w:br/>
              <w:br/>
              <w:br/>
            </w:r>
          </w:p>
        </w:tc>
        <w:tc>
          <w:tcPr>
            <w:tcW w:type="dxa" w:w="5046"/>
          </w:tcPr>
          <w:p>
            <w:r>
              <w:t>Por la empresa</w:t>
              <w:br/>
              <w:br/>
              <w:br/>
              <w:br/>
            </w:r>
          </w:p>
        </w:tc>
      </w:tr>
    </w:tbl>
    <w:p>
      <w:r>
        <w:rPr>
          <w:color w:val="64748B"/>
          <w:sz w:val="14"/>
        </w:rPr>
        <w:t>Plantilla gratuita de Custom Soft Lab · customsoftlab.com/plantilla-presupuesto-reforma/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